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60" w:lineRule="auto"/>
        <w:jc w:val="center"/>
        <w:textAlignment w:val="auto"/>
        <w:rPr>
          <w:rFonts w:hint="default" w:ascii="Times New Roman" w:hAnsi="Times New Roman" w:eastAsia="宋体" w:cs="Times New Roman"/>
          <w:sz w:val="22"/>
          <w:szCs w:val="22"/>
          <w:lang w:eastAsia="zh-CN"/>
        </w:rPr>
      </w:pPr>
      <w:bookmarkStart w:id="0" w:name="_GoBack"/>
      <w:bookmarkEnd w:id="0"/>
      <w:r>
        <w:rPr>
          <w:rFonts w:hint="default" w:ascii="Times New Roman" w:hAnsi="Times New Roman" w:cs="Times New Roman"/>
          <w:b/>
          <w:sz w:val="22"/>
          <w:szCs w:val="22"/>
        </w:rPr>
        <w:t xml:space="preserve">Supplementary </w:t>
      </w:r>
      <w:r>
        <w:rPr>
          <w:rFonts w:hint="eastAsia" w:ascii="Times New Roman" w:hAnsi="Times New Roman" w:eastAsia="宋体" w:cs="Times New Roman"/>
          <w:b/>
          <w:sz w:val="22"/>
          <w:szCs w:val="22"/>
          <w:lang w:val="en-US" w:eastAsia="zh-CN"/>
        </w:rPr>
        <w:t>T</w:t>
      </w:r>
      <w:r>
        <w:rPr>
          <w:rFonts w:hint="default" w:ascii="Times New Roman" w:hAnsi="Times New Roman" w:cs="Times New Roman"/>
          <w:b/>
          <w:sz w:val="22"/>
          <w:szCs w:val="22"/>
        </w:rPr>
        <w:t>able S</w:t>
      </w:r>
      <w:r>
        <w:rPr>
          <w:rFonts w:hint="default" w:ascii="Times New Roman" w:hAnsi="Times New Roman" w:eastAsia="宋体" w:cs="Times New Roman"/>
          <w:b/>
          <w:sz w:val="22"/>
          <w:szCs w:val="22"/>
          <w:lang w:val="en-US" w:eastAsia="zh-CN"/>
        </w:rPr>
        <w:t>1</w:t>
      </w:r>
      <w:r>
        <w:rPr>
          <w:rFonts w:hint="eastAsia" w:ascii="Times New Roman" w:hAnsi="Times New Roman" w:eastAsia="宋体" w:cs="Times New Roman"/>
          <w:b/>
          <w:sz w:val="22"/>
          <w:szCs w:val="22"/>
          <w:lang w:val="en-US" w:eastAsia="zh-CN"/>
        </w:rPr>
        <w:t>:</w:t>
      </w:r>
      <w:r>
        <w:rPr>
          <w:rFonts w:hint="default" w:ascii="Times New Roman" w:hAnsi="Times New Roman" w:cs="Times New Roman"/>
          <w:sz w:val="22"/>
          <w:szCs w:val="22"/>
        </w:rPr>
        <w:t>Total annual fertilizer amount of wolfberry per hectare under each treatment</w:t>
      </w:r>
      <w:r>
        <w:rPr>
          <w:rFonts w:hint="default" w:ascii="Times New Roman" w:hAnsi="Times New Roman" w:eastAsia="宋体" w:cs="Times New Roman"/>
          <w:sz w:val="22"/>
          <w:szCs w:val="22"/>
          <w:lang w:eastAsia="zh-CN"/>
        </w:rPr>
        <w:t xml:space="preserve">（Pure nitrogen </w:t>
      </w:r>
      <w:r>
        <w:rPr>
          <w:rFonts w:hint="default" w:ascii="Times New Roman" w:hAnsi="Times New Roman" w:eastAsia="宋体" w:cs="Times New Roman"/>
          <w:sz w:val="22"/>
          <w:szCs w:val="22"/>
          <w:lang w:val="en-US" w:eastAsia="zh-CN"/>
        </w:rPr>
        <w:t>amount</w:t>
      </w:r>
      <w:r>
        <w:rPr>
          <w:rFonts w:hint="default" w:ascii="Times New Roman" w:hAnsi="Times New Roman" w:eastAsia="宋体" w:cs="Times New Roman"/>
          <w:sz w:val="22"/>
          <w:szCs w:val="22"/>
          <w:lang w:eastAsia="zh-CN"/>
        </w:rPr>
        <w:t xml:space="preserve">, pure phosphorus </w:t>
      </w:r>
      <w:r>
        <w:rPr>
          <w:rFonts w:hint="default" w:ascii="Times New Roman" w:hAnsi="Times New Roman" w:eastAsia="宋体" w:cs="Times New Roman"/>
          <w:sz w:val="22"/>
          <w:szCs w:val="22"/>
          <w:lang w:val="en-US" w:eastAsia="zh-CN"/>
        </w:rPr>
        <w:t>amount</w:t>
      </w:r>
      <w:r>
        <w:rPr>
          <w:rFonts w:hint="default" w:ascii="Times New Roman" w:hAnsi="Times New Roman" w:eastAsia="宋体" w:cs="Times New Roman"/>
          <w:sz w:val="22"/>
          <w:szCs w:val="22"/>
          <w:lang w:eastAsia="zh-CN"/>
        </w:rPr>
        <w:t xml:space="preserve">, pure potassium </w:t>
      </w:r>
      <w:r>
        <w:rPr>
          <w:rFonts w:hint="default" w:ascii="Times New Roman" w:hAnsi="Times New Roman" w:eastAsia="宋体" w:cs="Times New Roman"/>
          <w:sz w:val="22"/>
          <w:szCs w:val="22"/>
          <w:lang w:val="en-US" w:eastAsia="zh-CN"/>
        </w:rPr>
        <w:t>amount</w:t>
      </w:r>
      <w:r>
        <w:rPr>
          <w:rFonts w:hint="default" w:ascii="Times New Roman" w:hAnsi="Times New Roman" w:eastAsia="宋体" w:cs="Times New Roman"/>
          <w:sz w:val="22"/>
          <w:szCs w:val="22"/>
          <w:lang w:eastAsia="zh-CN"/>
        </w:rPr>
        <w:t>）</w:t>
      </w:r>
    </w:p>
    <w:tbl>
      <w:tblPr>
        <w:tblStyle w:val="3"/>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3"/>
        <w:gridCol w:w="2655"/>
        <w:gridCol w:w="1407"/>
        <w:gridCol w:w="138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Different treatment</w:t>
            </w:r>
          </w:p>
        </w:tc>
        <w:tc>
          <w:tcPr>
            <w:tcW w:w="14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 xml:space="preserve">Pure nitrogen </w:t>
            </w:r>
            <w:r>
              <w:rPr>
                <w:rFonts w:hint="default" w:ascii="Times New Roman" w:hAnsi="Times New Roman" w:eastAsia="宋体" w:cs="Times New Roman"/>
                <w:sz w:val="22"/>
                <w:szCs w:val="22"/>
                <w:lang w:val="en-US" w:eastAsia="zh-CN"/>
              </w:rPr>
              <w:t>amount</w:t>
            </w:r>
            <w:r>
              <w:rPr>
                <w:rFonts w:hint="default" w:ascii="Times New Roman" w:hAnsi="Times New Roman" w:cs="Times New Roman"/>
                <w:b w:val="0"/>
                <w:bCs w:val="0"/>
                <w:color w:val="000000"/>
                <w:kern w:val="0"/>
                <w:sz w:val="22"/>
                <w:szCs w:val="22"/>
              </w:rPr>
              <w:t>（</w:t>
            </w:r>
            <w:r>
              <w:rPr>
                <w:rFonts w:hint="default" w:ascii="Times New Roman" w:hAnsi="Times New Roman" w:cs="Times New Roman"/>
                <w:b w:val="0"/>
                <w:bCs w:val="0"/>
                <w:color w:val="000000"/>
                <w:kern w:val="0"/>
                <w:sz w:val="22"/>
                <w:szCs w:val="22"/>
                <w:lang w:val="en-US" w:eastAsia="zh-CN"/>
              </w:rPr>
              <w:t>kg</w:t>
            </w:r>
            <w:r>
              <w:rPr>
                <w:rFonts w:hint="default" w:ascii="Times New Roman" w:hAnsi="Times New Roman" w:cs="Times New Roman"/>
                <w:b w:val="0"/>
                <w:bCs w:val="0"/>
                <w:color w:val="000000"/>
                <w:kern w:val="0"/>
                <w:sz w:val="22"/>
                <w:szCs w:val="22"/>
              </w:rPr>
              <w:t>/</w:t>
            </w:r>
            <w:r>
              <w:rPr>
                <w:rFonts w:hint="default" w:ascii="Times New Roman" w:hAnsi="Times New Roman" w:eastAsia="宋体" w:cs="Times New Roman"/>
                <w:b w:val="0"/>
                <w:bCs w:val="0"/>
                <w:color w:val="000000"/>
                <w:kern w:val="0"/>
                <w:sz w:val="22"/>
                <w:szCs w:val="22"/>
                <w:lang w:val="en-US" w:eastAsia="zh-CN"/>
              </w:rPr>
              <w:t>hm</w:t>
            </w:r>
            <w:r>
              <w:rPr>
                <w:rFonts w:hint="default" w:ascii="Times New Roman" w:hAnsi="Times New Roman" w:eastAsia="宋体" w:cs="Times New Roman"/>
                <w:b w:val="0"/>
                <w:bCs w:val="0"/>
                <w:color w:val="000000"/>
                <w:kern w:val="0"/>
                <w:sz w:val="22"/>
                <w:szCs w:val="22"/>
                <w:vertAlign w:val="superscript"/>
                <w:lang w:val="en-US" w:eastAsia="zh-CN"/>
              </w:rPr>
              <w:t>2</w:t>
            </w:r>
            <w:r>
              <w:rPr>
                <w:rFonts w:hint="default" w:ascii="Times New Roman" w:hAnsi="Times New Roman" w:cs="Times New Roman"/>
                <w:b w:val="0"/>
                <w:bCs w:val="0"/>
                <w:color w:val="000000"/>
                <w:kern w:val="0"/>
                <w:sz w:val="22"/>
                <w:szCs w:val="22"/>
              </w:rPr>
              <w:t>）</w:t>
            </w:r>
          </w:p>
        </w:tc>
        <w:tc>
          <w:tcPr>
            <w:tcW w:w="13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 xml:space="preserve"> pure phosphorus </w:t>
            </w:r>
            <w:r>
              <w:rPr>
                <w:rFonts w:hint="default" w:ascii="Times New Roman" w:hAnsi="Times New Roman" w:eastAsia="宋体" w:cs="Times New Roman"/>
                <w:sz w:val="22"/>
                <w:szCs w:val="22"/>
                <w:lang w:val="en-US" w:eastAsia="zh-CN"/>
              </w:rPr>
              <w:t>amount</w:t>
            </w:r>
            <w:r>
              <w:rPr>
                <w:rFonts w:hint="default" w:ascii="Times New Roman" w:hAnsi="Times New Roman" w:cs="Times New Roman"/>
                <w:b w:val="0"/>
                <w:bCs w:val="0"/>
                <w:color w:val="000000"/>
                <w:kern w:val="0"/>
                <w:sz w:val="22"/>
                <w:szCs w:val="22"/>
              </w:rPr>
              <w:t>（</w:t>
            </w:r>
            <w:r>
              <w:rPr>
                <w:rFonts w:hint="default" w:ascii="Times New Roman" w:hAnsi="Times New Roman" w:cs="Times New Roman"/>
                <w:b w:val="0"/>
                <w:bCs w:val="0"/>
                <w:color w:val="000000"/>
                <w:kern w:val="0"/>
                <w:sz w:val="22"/>
                <w:szCs w:val="22"/>
                <w:lang w:val="en-US" w:eastAsia="zh-CN"/>
              </w:rPr>
              <w:t>kg</w:t>
            </w:r>
            <w:r>
              <w:rPr>
                <w:rFonts w:hint="default" w:ascii="Times New Roman" w:hAnsi="Times New Roman" w:cs="Times New Roman"/>
                <w:b w:val="0"/>
                <w:bCs w:val="0"/>
                <w:color w:val="000000"/>
                <w:kern w:val="0"/>
                <w:sz w:val="22"/>
                <w:szCs w:val="22"/>
              </w:rPr>
              <w:t>/</w:t>
            </w:r>
            <w:r>
              <w:rPr>
                <w:rFonts w:hint="default" w:ascii="Times New Roman" w:hAnsi="Times New Roman" w:eastAsia="宋体" w:cs="Times New Roman"/>
                <w:b w:val="0"/>
                <w:bCs w:val="0"/>
                <w:color w:val="000000"/>
                <w:kern w:val="0"/>
                <w:sz w:val="22"/>
                <w:szCs w:val="22"/>
                <w:lang w:val="en-US" w:eastAsia="zh-CN"/>
              </w:rPr>
              <w:t>hm</w:t>
            </w:r>
            <w:r>
              <w:rPr>
                <w:rFonts w:hint="default" w:ascii="Times New Roman" w:hAnsi="Times New Roman" w:eastAsia="宋体" w:cs="Times New Roman"/>
                <w:b w:val="0"/>
                <w:bCs w:val="0"/>
                <w:color w:val="000000"/>
                <w:kern w:val="0"/>
                <w:sz w:val="22"/>
                <w:szCs w:val="22"/>
                <w:vertAlign w:val="superscript"/>
                <w:lang w:val="en-US" w:eastAsia="zh-CN"/>
              </w:rPr>
              <w:t>2</w:t>
            </w:r>
            <w:r>
              <w:rPr>
                <w:rFonts w:hint="default" w:ascii="Times New Roman" w:hAnsi="Times New Roman" w:cs="Times New Roman"/>
                <w:b w:val="0"/>
                <w:bCs w:val="0"/>
                <w:color w:val="000000"/>
                <w:kern w:val="0"/>
                <w:sz w:val="22"/>
                <w:szCs w:val="22"/>
              </w:rPr>
              <w:t>）</w:t>
            </w:r>
          </w:p>
        </w:tc>
        <w:tc>
          <w:tcPr>
            <w:tcW w:w="15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 xml:space="preserve"> pure potassium </w:t>
            </w:r>
            <w:r>
              <w:rPr>
                <w:rFonts w:hint="default" w:ascii="Times New Roman" w:hAnsi="Times New Roman" w:eastAsia="宋体" w:cs="Times New Roman"/>
                <w:sz w:val="22"/>
                <w:szCs w:val="22"/>
                <w:lang w:val="en-US" w:eastAsia="zh-CN"/>
              </w:rPr>
              <w:t>amount  (</w:t>
            </w:r>
            <w:r>
              <w:rPr>
                <w:rFonts w:hint="default" w:ascii="Times New Roman" w:hAnsi="Times New Roman" w:cs="Times New Roman"/>
                <w:b w:val="0"/>
                <w:bCs w:val="0"/>
                <w:color w:val="000000"/>
                <w:kern w:val="0"/>
                <w:sz w:val="22"/>
                <w:szCs w:val="22"/>
                <w:lang w:val="en-US" w:eastAsia="zh-CN"/>
              </w:rPr>
              <w:t>kg</w:t>
            </w:r>
            <w:r>
              <w:rPr>
                <w:rFonts w:hint="default" w:ascii="Times New Roman" w:hAnsi="Times New Roman" w:cs="Times New Roman"/>
                <w:b w:val="0"/>
                <w:bCs w:val="0"/>
                <w:color w:val="000000"/>
                <w:kern w:val="0"/>
                <w:sz w:val="22"/>
                <w:szCs w:val="22"/>
              </w:rPr>
              <w:t>/</w:t>
            </w:r>
            <w:r>
              <w:rPr>
                <w:rFonts w:hint="default" w:ascii="Times New Roman" w:hAnsi="Times New Roman" w:eastAsia="宋体" w:cs="Times New Roman"/>
                <w:b w:val="0"/>
                <w:bCs w:val="0"/>
                <w:color w:val="000000"/>
                <w:kern w:val="0"/>
                <w:sz w:val="22"/>
                <w:szCs w:val="22"/>
                <w:lang w:val="en-US" w:eastAsia="zh-CN"/>
              </w:rPr>
              <w:t>hm</w:t>
            </w:r>
            <w:r>
              <w:rPr>
                <w:rFonts w:hint="default" w:ascii="Times New Roman" w:hAnsi="Times New Roman" w:eastAsia="宋体" w:cs="Times New Roman"/>
                <w:b w:val="0"/>
                <w:bCs w:val="0"/>
                <w:color w:val="000000"/>
                <w:kern w:val="0"/>
                <w:sz w:val="22"/>
                <w:szCs w:val="22"/>
                <w:vertAlign w:val="superscript"/>
                <w:lang w:val="en-US" w:eastAsia="zh-CN"/>
              </w:rPr>
              <w:t>2</w:t>
            </w:r>
            <w:r>
              <w:rPr>
                <w:rFonts w:hint="default" w:ascii="Times New Roman" w:hAnsi="Times New Roman" w:eastAsia="宋体" w:cs="Times New Roman"/>
                <w:sz w:val="22"/>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N1(</w:t>
            </w:r>
            <w:r>
              <w:rPr>
                <w:rFonts w:hint="default" w:ascii="Times New Roman" w:hAnsi="Times New Roman" w:cs="Times New Roman"/>
                <w:sz w:val="22"/>
                <w:szCs w:val="22"/>
              </w:rPr>
              <w:t>low fertilizer</w:t>
            </w:r>
            <w:r>
              <w:rPr>
                <w:rFonts w:hint="default" w:ascii="Times New Roman" w:hAnsi="Times New Roman" w:cs="Times New Roman"/>
                <w:b w:val="0"/>
                <w:bCs w:val="0"/>
                <w:sz w:val="22"/>
                <w:szCs w:val="22"/>
                <w:vertAlign w:val="baseline"/>
                <w:lang w:val="en-US" w:eastAsia="zh-CN"/>
              </w:rPr>
              <w:t>)</w:t>
            </w:r>
          </w:p>
        </w:tc>
        <w:tc>
          <w:tcPr>
            <w:tcW w:w="26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eastAsia="宋体" w:cs="Times New Roman"/>
                <w:b w:val="0"/>
                <w:bCs w:val="0"/>
                <w:kern w:val="2"/>
                <w:sz w:val="22"/>
                <w:szCs w:val="22"/>
                <w:vertAlign w:val="baseline"/>
                <w:lang w:val="en-US" w:eastAsia="zh-CN" w:bidi="ar-SA"/>
              </w:rPr>
              <w:t>reducing nitrogen by 20%</w:t>
            </w:r>
          </w:p>
        </w:tc>
        <w:tc>
          <w:tcPr>
            <w:tcW w:w="14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kern w:val="2"/>
                <w:sz w:val="22"/>
                <w:szCs w:val="22"/>
                <w:vertAlign w:val="baseline"/>
                <w:lang w:val="en-US" w:eastAsia="zh-CN" w:bidi="ar-SA"/>
              </w:rPr>
              <w:t>540</w:t>
            </w:r>
          </w:p>
        </w:tc>
        <w:tc>
          <w:tcPr>
            <w:tcW w:w="13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450</w:t>
            </w:r>
          </w:p>
        </w:tc>
        <w:tc>
          <w:tcPr>
            <w:tcW w:w="15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N2(medium fertilizer)</w:t>
            </w:r>
          </w:p>
        </w:tc>
        <w:tc>
          <w:tcPr>
            <w:tcW w:w="26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medium nitrogen</w:t>
            </w:r>
          </w:p>
        </w:tc>
        <w:tc>
          <w:tcPr>
            <w:tcW w:w="14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675</w:t>
            </w:r>
          </w:p>
        </w:tc>
        <w:tc>
          <w:tcPr>
            <w:tcW w:w="13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450</w:t>
            </w:r>
          </w:p>
        </w:tc>
        <w:tc>
          <w:tcPr>
            <w:tcW w:w="15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N3(high fertilizer)</w:t>
            </w:r>
          </w:p>
        </w:tc>
        <w:tc>
          <w:tcPr>
            <w:tcW w:w="26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Increase nitrogen by 20%</w:t>
            </w:r>
          </w:p>
        </w:tc>
        <w:tc>
          <w:tcPr>
            <w:tcW w:w="14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810</w:t>
            </w:r>
          </w:p>
        </w:tc>
        <w:tc>
          <w:tcPr>
            <w:tcW w:w="13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450</w:t>
            </w:r>
          </w:p>
        </w:tc>
        <w:tc>
          <w:tcPr>
            <w:tcW w:w="15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300</w:t>
            </w:r>
          </w:p>
        </w:tc>
      </w:tr>
    </w:tbl>
    <w:p>
      <w:pPr>
        <w:jc w:val="center"/>
        <w:rPr>
          <w:rFonts w:hint="eastAsia" w:eastAsia="宋体"/>
          <w:lang w:eastAsia="zh-CN"/>
        </w:rPr>
      </w:pPr>
    </w:p>
    <w:p>
      <w:pPr>
        <w:jc w:val="both"/>
        <w:rPr>
          <w:rFonts w:hint="default" w:ascii="Times New Roman" w:hAnsi="Times New Roman" w:cs="Times New Roman"/>
        </w:rPr>
      </w:pPr>
      <w:r>
        <w:rPr>
          <w:rFonts w:hint="default" w:ascii="Times New Roman" w:hAnsi="Times New Roman" w:cs="Times New Roman"/>
          <w:b/>
        </w:rPr>
        <w:t xml:space="preserve">Supplementary </w:t>
      </w:r>
      <w:r>
        <w:rPr>
          <w:rFonts w:hint="eastAsia" w:ascii="Times New Roman" w:hAnsi="Times New Roman" w:eastAsia="宋体" w:cs="Times New Roman"/>
          <w:b/>
          <w:lang w:val="en-US" w:eastAsia="zh-CN"/>
        </w:rPr>
        <w:t>T</w:t>
      </w:r>
      <w:r>
        <w:rPr>
          <w:rFonts w:hint="default" w:ascii="Times New Roman" w:hAnsi="Times New Roman" w:cs="Times New Roman"/>
          <w:b/>
        </w:rPr>
        <w:t>able S</w:t>
      </w:r>
      <w:r>
        <w:rPr>
          <w:rFonts w:hint="default" w:ascii="Times New Roman" w:hAnsi="Times New Roman" w:eastAsia="宋体" w:cs="Times New Roman"/>
          <w:b/>
          <w:lang w:val="en-US" w:eastAsia="zh-CN"/>
        </w:rPr>
        <w:t>2</w:t>
      </w:r>
      <w:r>
        <w:rPr>
          <w:rFonts w:hint="eastAsia" w:ascii="Times New Roman" w:hAnsi="Times New Roman" w:eastAsia="宋体" w:cs="Times New Roman"/>
          <w:lang w:val="en-US" w:eastAsia="zh-CN"/>
        </w:rPr>
        <w:t>:</w:t>
      </w:r>
      <w:r>
        <w:rPr>
          <w:rFonts w:hint="default" w:ascii="Times New Roman" w:hAnsi="Times New Roman" w:cs="Times New Roman"/>
        </w:rPr>
        <w:t>Total annual fertilizer amount of wolfberry per hectare under each treatment</w:t>
      </w:r>
    </w:p>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(Nitrogen fertilizer amount, phosphate fertilizer amount, potassium fertilizer amount)</w:t>
      </w:r>
    </w:p>
    <w:tbl>
      <w:tblPr>
        <w:tblStyle w:val="3"/>
        <w:tblW w:w="10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2586"/>
        <w:gridCol w:w="2181"/>
        <w:gridCol w:w="2640"/>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Different treatment</w:t>
            </w:r>
          </w:p>
        </w:tc>
        <w:tc>
          <w:tcPr>
            <w:tcW w:w="218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Urea (kg/</w:t>
            </w:r>
            <w:r>
              <w:rPr>
                <w:rFonts w:hint="default" w:ascii="Times New Roman" w:hAnsi="Times New Roman" w:eastAsia="宋体" w:cs="Times New Roman"/>
                <w:b w:val="0"/>
                <w:bCs w:val="0"/>
                <w:color w:val="000000"/>
                <w:kern w:val="0"/>
                <w:sz w:val="22"/>
                <w:szCs w:val="22"/>
                <w:lang w:val="en-US" w:eastAsia="zh-CN"/>
              </w:rPr>
              <w:t>hm</w:t>
            </w:r>
            <w:r>
              <w:rPr>
                <w:rFonts w:hint="default" w:ascii="Times New Roman" w:hAnsi="Times New Roman" w:eastAsia="宋体" w:cs="Times New Roman"/>
                <w:b w:val="0"/>
                <w:bCs w:val="0"/>
                <w:color w:val="000000"/>
                <w:kern w:val="0"/>
                <w:sz w:val="22"/>
                <w:szCs w:val="22"/>
                <w:vertAlign w:val="superscript"/>
                <w:lang w:val="en-US" w:eastAsia="zh-CN"/>
              </w:rPr>
              <w:t>2</w:t>
            </w:r>
            <w:r>
              <w:rPr>
                <w:rFonts w:hint="default" w:ascii="Times New Roman" w:hAnsi="Times New Roman" w:eastAsia="宋体" w:cs="Times New Roman"/>
                <w:sz w:val="22"/>
                <w:szCs w:val="2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 Pure nitrogen /46%</w:t>
            </w:r>
          </w:p>
        </w:tc>
        <w:tc>
          <w:tcPr>
            <w:tcW w:w="26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 xml:space="preserve"> Heavy superphosphate (kg/ </w:t>
            </w:r>
            <w:r>
              <w:rPr>
                <w:rFonts w:hint="default" w:ascii="Times New Roman" w:hAnsi="Times New Roman" w:eastAsia="宋体" w:cs="Times New Roman"/>
                <w:b w:val="0"/>
                <w:bCs w:val="0"/>
                <w:color w:val="000000"/>
                <w:kern w:val="0"/>
                <w:sz w:val="22"/>
                <w:szCs w:val="22"/>
                <w:lang w:val="en-US" w:eastAsia="zh-CN"/>
              </w:rPr>
              <w:t>hm</w:t>
            </w:r>
            <w:r>
              <w:rPr>
                <w:rFonts w:hint="default" w:ascii="Times New Roman" w:hAnsi="Times New Roman" w:eastAsia="宋体" w:cs="Times New Roman"/>
                <w:b w:val="0"/>
                <w:bCs w:val="0"/>
                <w:color w:val="000000"/>
                <w:kern w:val="0"/>
                <w:sz w:val="22"/>
                <w:szCs w:val="22"/>
                <w:vertAlign w:val="superscript"/>
                <w:lang w:val="en-US" w:eastAsia="zh-CN"/>
              </w:rPr>
              <w:t>2</w:t>
            </w:r>
            <w:r>
              <w:rPr>
                <w:rFonts w:hint="default" w:ascii="Times New Roman" w:hAnsi="Times New Roman" w:eastAsia="宋体" w:cs="Times New Roman"/>
                <w:sz w:val="22"/>
                <w:szCs w:val="2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 Pure phosphorus /50%</w:t>
            </w:r>
          </w:p>
        </w:tc>
        <w:tc>
          <w:tcPr>
            <w:tcW w:w="2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 xml:space="preserve">Potassium sulfate (kg/ </w:t>
            </w:r>
            <w:r>
              <w:rPr>
                <w:rFonts w:hint="default" w:ascii="Times New Roman" w:hAnsi="Times New Roman" w:eastAsia="宋体" w:cs="Times New Roman"/>
                <w:b w:val="0"/>
                <w:bCs w:val="0"/>
                <w:color w:val="000000"/>
                <w:kern w:val="0"/>
                <w:sz w:val="22"/>
                <w:szCs w:val="22"/>
                <w:lang w:val="en-US" w:eastAsia="zh-CN"/>
              </w:rPr>
              <w:t>hm</w:t>
            </w:r>
            <w:r>
              <w:rPr>
                <w:rFonts w:hint="default" w:ascii="Times New Roman" w:hAnsi="Times New Roman" w:eastAsia="宋体" w:cs="Times New Roman"/>
                <w:b w:val="0"/>
                <w:bCs w:val="0"/>
                <w:color w:val="000000"/>
                <w:kern w:val="0"/>
                <w:sz w:val="22"/>
                <w:szCs w:val="22"/>
                <w:vertAlign w:val="superscript"/>
                <w:lang w:val="en-US" w:eastAsia="zh-CN"/>
              </w:rPr>
              <w:t>2</w:t>
            </w:r>
            <w:r>
              <w:rPr>
                <w:rFonts w:hint="default" w:ascii="Times New Roman" w:hAnsi="Times New Roman" w:eastAsia="宋体" w:cs="Times New Roman"/>
                <w:sz w:val="22"/>
                <w:szCs w:val="2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 Pure potassium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N1</w:t>
            </w:r>
          </w:p>
        </w:tc>
        <w:tc>
          <w:tcPr>
            <w:tcW w:w="25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eastAsia="宋体" w:cs="Times New Roman"/>
                <w:b w:val="0"/>
                <w:bCs w:val="0"/>
                <w:kern w:val="2"/>
                <w:sz w:val="22"/>
                <w:szCs w:val="22"/>
                <w:vertAlign w:val="baseline"/>
                <w:lang w:val="en-US" w:eastAsia="zh-CN" w:bidi="ar-SA"/>
              </w:rPr>
              <w:t>reducing nitrogen by 20%</w:t>
            </w:r>
          </w:p>
        </w:tc>
        <w:tc>
          <w:tcPr>
            <w:tcW w:w="218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kern w:val="2"/>
                <w:sz w:val="22"/>
                <w:szCs w:val="22"/>
                <w:vertAlign w:val="baseline"/>
                <w:lang w:val="en-US" w:eastAsia="zh-CN" w:bidi="ar-SA"/>
              </w:rPr>
              <w:t>1170</w:t>
            </w:r>
          </w:p>
        </w:tc>
        <w:tc>
          <w:tcPr>
            <w:tcW w:w="26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900</w:t>
            </w:r>
          </w:p>
        </w:tc>
        <w:tc>
          <w:tcPr>
            <w:tcW w:w="2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kern w:val="2"/>
                <w:sz w:val="22"/>
                <w:szCs w:val="22"/>
                <w:vertAlign w:val="baseline"/>
                <w:lang w:val="en-US" w:eastAsia="zh-CN" w:bidi="ar-SA"/>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N2</w:t>
            </w:r>
          </w:p>
        </w:tc>
        <w:tc>
          <w:tcPr>
            <w:tcW w:w="25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medium nitrogen</w:t>
            </w:r>
          </w:p>
        </w:tc>
        <w:tc>
          <w:tcPr>
            <w:tcW w:w="218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1470</w:t>
            </w:r>
          </w:p>
        </w:tc>
        <w:tc>
          <w:tcPr>
            <w:tcW w:w="26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900</w:t>
            </w:r>
          </w:p>
        </w:tc>
        <w:tc>
          <w:tcPr>
            <w:tcW w:w="2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kern w:val="2"/>
                <w:sz w:val="22"/>
                <w:szCs w:val="22"/>
                <w:vertAlign w:val="baseline"/>
                <w:lang w:val="en-US" w:eastAsia="zh-CN" w:bidi="ar-SA"/>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N3</w:t>
            </w:r>
          </w:p>
        </w:tc>
        <w:tc>
          <w:tcPr>
            <w:tcW w:w="25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Increase nitrogen by 20%</w:t>
            </w:r>
          </w:p>
        </w:tc>
        <w:tc>
          <w:tcPr>
            <w:tcW w:w="218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1755</w:t>
            </w:r>
          </w:p>
        </w:tc>
        <w:tc>
          <w:tcPr>
            <w:tcW w:w="26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900</w:t>
            </w:r>
          </w:p>
        </w:tc>
        <w:tc>
          <w:tcPr>
            <w:tcW w:w="21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kern w:val="2"/>
                <w:sz w:val="22"/>
                <w:szCs w:val="22"/>
                <w:vertAlign w:val="baseline"/>
                <w:lang w:val="en-US" w:eastAsia="zh-CN" w:bidi="ar-SA"/>
              </w:rPr>
              <w:t>600</w:t>
            </w:r>
          </w:p>
        </w:tc>
      </w:tr>
    </w:tbl>
    <w:p>
      <w:pPr>
        <w:jc w:val="both"/>
        <w:rPr>
          <w:b/>
        </w:rPr>
      </w:pPr>
    </w:p>
    <w:p>
      <w:pPr>
        <w:jc w:val="both"/>
        <w:rPr>
          <w:rFonts w:hint="default" w:asciiTheme="minorAscii" w:hAnsiTheme="minorAscii"/>
          <w:b/>
        </w:rPr>
      </w:pPr>
    </w:p>
    <w:p>
      <w:pPr>
        <w:jc w:val="both"/>
        <w:rPr>
          <w:rFonts w:hint="default" w:asciiTheme="minorAscii" w:hAnsiTheme="minorAscii"/>
          <w:b/>
        </w:rPr>
      </w:pPr>
    </w:p>
    <w:p>
      <w:pPr>
        <w:jc w:val="both"/>
        <w:rPr>
          <w:rFonts w:hint="default" w:asciiTheme="minorAscii" w:hAnsiTheme="minorAscii"/>
          <w:b/>
        </w:rPr>
      </w:pPr>
    </w:p>
    <w:p>
      <w:pPr>
        <w:jc w:val="both"/>
        <w:rPr>
          <w:rFonts w:hint="default" w:asciiTheme="minorAscii" w:hAnsiTheme="minorAscii"/>
          <w:b/>
        </w:rPr>
      </w:pPr>
    </w:p>
    <w:p>
      <w:pPr>
        <w:jc w:val="both"/>
        <w:rPr>
          <w:rFonts w:hint="default" w:asciiTheme="minorAscii" w:hAnsiTheme="minorAscii"/>
          <w:b/>
        </w:rPr>
      </w:pPr>
    </w:p>
    <w:p>
      <w:pPr>
        <w:jc w:val="both"/>
        <w:rPr>
          <w:rFonts w:hint="default" w:asciiTheme="minorAscii" w:hAnsiTheme="minorAscii"/>
          <w:b/>
        </w:rPr>
      </w:pPr>
    </w:p>
    <w:p>
      <w:pPr>
        <w:jc w:val="both"/>
        <w:rPr>
          <w:rFonts w:hint="default" w:ascii="Times New Roman" w:hAnsi="Times New Roman" w:cs="Times New Roman"/>
          <w:b w:val="0"/>
          <w:bCs/>
        </w:rPr>
      </w:pPr>
      <w:r>
        <w:rPr>
          <w:rFonts w:hint="default" w:ascii="Times New Roman" w:hAnsi="Times New Roman" w:cs="Times New Roman"/>
          <w:b/>
        </w:rPr>
        <w:t xml:space="preserve">Supplementary </w:t>
      </w:r>
      <w:r>
        <w:rPr>
          <w:rFonts w:hint="eastAsia" w:ascii="Times New Roman" w:hAnsi="Times New Roman" w:eastAsia="宋体" w:cs="Times New Roman"/>
          <w:b/>
          <w:lang w:val="en-US" w:eastAsia="zh-CN"/>
        </w:rPr>
        <w:t>T</w:t>
      </w:r>
      <w:r>
        <w:rPr>
          <w:rFonts w:hint="default" w:ascii="Times New Roman" w:hAnsi="Times New Roman" w:cs="Times New Roman"/>
          <w:b/>
        </w:rPr>
        <w:t>able S</w:t>
      </w:r>
      <w:r>
        <w:rPr>
          <w:rFonts w:hint="default" w:ascii="Times New Roman" w:hAnsi="Times New Roman" w:cs="Times New Roman"/>
          <w:b/>
          <w:lang w:val="en-US" w:eastAsia="zh-CN"/>
        </w:rPr>
        <w:t>3</w:t>
      </w:r>
      <w:r>
        <w:rPr>
          <w:rFonts w:hint="eastAsia" w:ascii="Times New Roman" w:hAnsi="Times New Roman" w:cs="Times New Roman"/>
          <w:b/>
          <w:lang w:val="en-US" w:eastAsia="zh-CN"/>
        </w:rPr>
        <w:t>:</w:t>
      </w:r>
      <w:r>
        <w:rPr>
          <w:rFonts w:hint="default" w:ascii="Times New Roman" w:hAnsi="Times New Roman" w:cs="Times New Roman"/>
          <w:b w:val="0"/>
          <w:bCs/>
        </w:rPr>
        <w:t>Implementation plan of</w:t>
      </w:r>
      <w:r>
        <w:rPr>
          <w:rFonts w:hint="default" w:ascii="Times New Roman" w:hAnsi="Times New Roman" w:cs="Times New Roman"/>
          <w:b w:val="0"/>
          <w:bCs/>
          <w:lang w:val="en-US" w:eastAsia="zh-CN"/>
        </w:rPr>
        <w:t xml:space="preserve"> </w:t>
      </w:r>
      <w:r>
        <w:rPr>
          <w:rFonts w:hint="default" w:ascii="Times New Roman" w:hAnsi="Times New Roman" w:cs="Times New Roman"/>
          <w:b w:val="0"/>
          <w:bCs/>
        </w:rPr>
        <w:t>fertilizer operation for each treatment of wolfberry</w:t>
      </w:r>
    </w:p>
    <w:tbl>
      <w:tblPr>
        <w:tblStyle w:val="3"/>
        <w:tblpPr w:leftFromText="180" w:rightFromText="180" w:vertAnchor="text" w:horzAnchor="page" w:tblpXSpec="center" w:tblpY="145"/>
        <w:tblOverlap w:val="never"/>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1365"/>
        <w:gridCol w:w="1631"/>
        <w:gridCol w:w="2077"/>
        <w:gridCol w:w="2093"/>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Different treatment</w:t>
            </w:r>
          </w:p>
        </w:tc>
        <w:tc>
          <w:tcPr>
            <w:tcW w:w="1359"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Phenological period</w:t>
            </w:r>
          </w:p>
        </w:tc>
        <w:tc>
          <w:tcPr>
            <w:tcW w:w="1642"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Fertilization time</w:t>
            </w:r>
          </w:p>
        </w:tc>
        <w:tc>
          <w:tcPr>
            <w:tcW w:w="6324"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 xml:space="preserve">Amount of fertilizer </w:t>
            </w:r>
            <w:r>
              <w:rPr>
                <w:rFonts w:hint="default" w:ascii="Times New Roman" w:hAnsi="Times New Roman" w:cs="Times New Roman"/>
                <w:sz w:val="22"/>
                <w:szCs w:val="22"/>
              </w:rPr>
              <w:t>per growing period(kg/ hm</w:t>
            </w:r>
            <w:r>
              <w:rPr>
                <w:rFonts w:hint="default" w:ascii="Times New Roman" w:hAnsi="Times New Roman" w:cs="Times New Roman"/>
                <w:sz w:val="22"/>
                <w:szCs w:val="22"/>
                <w:vertAlign w:val="superscript"/>
              </w:rPr>
              <w:t>2</w:t>
            </w:r>
            <w:r>
              <w:rPr>
                <w:rFonts w:hint="default" w:ascii="Times New Roman" w:hAnsi="Times New Roman" w:cs="Times New Roman"/>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642"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Urea</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Heavy superphosphate</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eastAsia="宋体" w:cs="Times New Roman"/>
                <w:sz w:val="22"/>
                <w:szCs w:val="22"/>
                <w:lang w:eastAsia="zh-CN"/>
              </w:rPr>
              <w:t>Potassium sulfate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N1</w:t>
            </w: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budding and unfolding stage</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April 20th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351（30%）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135（15%）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green fruit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May 20th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351（30%）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180（20%）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fruit ripening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June 15</w:t>
            </w:r>
            <w:r>
              <w:rPr>
                <w:rFonts w:hint="default" w:ascii="Times New Roman" w:hAnsi="Times New Roman" w:cs="Times New Roman"/>
                <w:sz w:val="22"/>
                <w:szCs w:val="22"/>
                <w:vertAlign w:val="baseline"/>
              </w:rPr>
              <w:t>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175.5（15%）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360（40%）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240（40%）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autumn fruit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late July to early August</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175.5（15%）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135（15%）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autumn dormancy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late September</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117（10%）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60（10%）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N2</w:t>
            </w: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budding and unfolding stage</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April 20th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441（30%）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135（15%）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green fruit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May 20th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441（30%）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180（20%）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fruit ripening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June 15</w:t>
            </w:r>
            <w:r>
              <w:rPr>
                <w:rFonts w:hint="default" w:ascii="Times New Roman" w:hAnsi="Times New Roman" w:cs="Times New Roman"/>
                <w:sz w:val="22"/>
                <w:szCs w:val="22"/>
                <w:vertAlign w:val="baseline"/>
              </w:rPr>
              <w:t>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220.5（15%）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360（40%）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240（40%）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autumn fruit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late July to early August</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220.5（15%）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135（15%）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autumn dormancy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late September</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147（10%）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60（10%）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N3</w:t>
            </w: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eastAsiaTheme="minorHAnsi"/>
                <w:b w:val="0"/>
                <w:bCs w:val="0"/>
                <w:sz w:val="22"/>
                <w:szCs w:val="22"/>
                <w:vertAlign w:val="baseline"/>
                <w:lang w:val="en-US" w:eastAsia="zh-CN" w:bidi="ar-SA"/>
              </w:rPr>
            </w:pPr>
            <w:r>
              <w:rPr>
                <w:rFonts w:hint="default" w:ascii="Times New Roman" w:hAnsi="Times New Roman" w:cs="Times New Roman"/>
                <w:sz w:val="22"/>
                <w:szCs w:val="22"/>
              </w:rPr>
              <w:t>budding and unfolding stage</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April 20th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526.5（30%）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135（15%）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green fruit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May 20th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526.5（30%）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180（20%）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fruit ripening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June 15</w:t>
            </w:r>
            <w:r>
              <w:rPr>
                <w:rFonts w:hint="default" w:ascii="Times New Roman" w:hAnsi="Times New Roman" w:cs="Times New Roman"/>
                <w:sz w:val="22"/>
                <w:szCs w:val="22"/>
                <w:vertAlign w:val="baseline"/>
              </w:rPr>
              <w:t>th</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263.25（15%）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360（40%）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240（40%）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autumn fruit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late July to early August</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263.25（15%）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135（15%）</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p>
        </w:tc>
        <w:tc>
          <w:tcPr>
            <w:tcW w:w="13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sz w:val="22"/>
                <w:szCs w:val="22"/>
              </w:rPr>
              <w:t>autumn dormancy period</w:t>
            </w:r>
          </w:p>
        </w:tc>
        <w:tc>
          <w:tcPr>
            <w:tcW w:w="16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sz w:val="22"/>
                <w:szCs w:val="22"/>
              </w:rPr>
              <w:t>late September</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b w:val="0"/>
                <w:bCs w:val="0"/>
                <w:sz w:val="22"/>
                <w:szCs w:val="22"/>
                <w:vertAlign w:val="baseline"/>
                <w:lang w:val="en-US" w:eastAsia="zh-CN"/>
              </w:rPr>
            </w:pPr>
            <w:r>
              <w:rPr>
                <w:rFonts w:hint="default" w:ascii="Times New Roman" w:hAnsi="Times New Roman" w:cs="Times New Roman"/>
                <w:b w:val="0"/>
                <w:bCs w:val="0"/>
                <w:sz w:val="22"/>
                <w:szCs w:val="22"/>
                <w:vertAlign w:val="baseline"/>
                <w:lang w:val="en-US" w:eastAsia="zh-CN"/>
              </w:rPr>
              <w:t>175.5（10%）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90（10%）</w:t>
            </w:r>
          </w:p>
        </w:tc>
        <w:tc>
          <w:tcPr>
            <w:tcW w:w="2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default" w:ascii="Times New Roman" w:hAnsi="Times New Roman" w:eastAsia="宋体" w:cs="Times New Roman"/>
                <w:b w:val="0"/>
                <w:bCs w:val="0"/>
                <w:kern w:val="2"/>
                <w:sz w:val="22"/>
                <w:szCs w:val="22"/>
                <w:vertAlign w:val="baseline"/>
                <w:lang w:val="en-US" w:eastAsia="zh-CN" w:bidi="ar-SA"/>
              </w:rPr>
            </w:pPr>
            <w:r>
              <w:rPr>
                <w:rFonts w:hint="default" w:ascii="Times New Roman" w:hAnsi="Times New Roman" w:cs="Times New Roman"/>
                <w:b w:val="0"/>
                <w:bCs w:val="0"/>
                <w:sz w:val="22"/>
                <w:szCs w:val="22"/>
                <w:vertAlign w:val="baseline"/>
                <w:lang w:val="en-US" w:eastAsia="zh-CN"/>
              </w:rPr>
              <w:t>60（10%）</w:t>
            </w:r>
          </w:p>
        </w:tc>
      </w:tr>
    </w:tbl>
    <w:p>
      <w:pPr>
        <w:spacing w:after="0"/>
        <w:jc w:val="both"/>
        <w:rPr>
          <w:b/>
        </w:rPr>
      </w:pPr>
    </w:p>
    <w:p>
      <w:pPr>
        <w:spacing w:after="0"/>
        <w:jc w:val="both"/>
        <w:rPr>
          <w:rFonts w:hint="default" w:ascii="Times New Roman" w:hAnsi="Times New Roman" w:cs="Times New Roman"/>
          <w:sz w:val="22"/>
          <w:szCs w:val="22"/>
        </w:rPr>
      </w:pPr>
      <w:r>
        <w:rPr>
          <w:rFonts w:hint="default" w:ascii="Times New Roman" w:hAnsi="Times New Roman" w:cs="Times New Roman"/>
          <w:b/>
          <w:sz w:val="22"/>
          <w:szCs w:val="22"/>
        </w:rPr>
        <w:t xml:space="preserve">Supplementary </w:t>
      </w:r>
      <w:r>
        <w:rPr>
          <w:rFonts w:hint="eastAsia" w:ascii="Times New Roman" w:hAnsi="Times New Roman" w:eastAsia="宋体" w:cs="Times New Roman"/>
          <w:b/>
          <w:sz w:val="22"/>
          <w:szCs w:val="22"/>
          <w:lang w:val="en-US" w:eastAsia="zh-CN"/>
        </w:rPr>
        <w:t>T</w:t>
      </w:r>
      <w:r>
        <w:rPr>
          <w:rFonts w:hint="default" w:ascii="Times New Roman" w:hAnsi="Times New Roman" w:cs="Times New Roman"/>
          <w:b/>
          <w:sz w:val="22"/>
          <w:szCs w:val="22"/>
        </w:rPr>
        <w:t>able S</w:t>
      </w:r>
      <w:r>
        <w:rPr>
          <w:rFonts w:hint="default" w:ascii="Times New Roman" w:hAnsi="Times New Roman" w:eastAsia="宋体" w:cs="Times New Roman"/>
          <w:b/>
          <w:sz w:val="22"/>
          <w:szCs w:val="22"/>
          <w:lang w:val="en-US" w:eastAsia="zh-CN"/>
        </w:rPr>
        <w:t>4</w:t>
      </w:r>
      <w:r>
        <w:rPr>
          <w:rFonts w:hint="eastAsia" w:ascii="Times New Roman" w:hAnsi="Times New Roman" w:eastAsia="宋体" w:cs="Times New Roman"/>
          <w:b/>
          <w:sz w:val="22"/>
          <w:szCs w:val="22"/>
          <w:lang w:val="en-US" w:eastAsia="zh-CN"/>
        </w:rPr>
        <w:t>:</w:t>
      </w:r>
      <w:r>
        <w:rPr>
          <w:rFonts w:hint="default" w:ascii="Times New Roman" w:hAnsi="Times New Roman" w:cs="Times New Roman"/>
          <w:sz w:val="22"/>
          <w:szCs w:val="22"/>
        </w:rPr>
        <w:t xml:space="preserve"> Soil samples and their replicates at two depths 0-20cm and 20-40cm for metagenomic studies. N1, N2, N3 indicates different nitrogen fertilizer treatments, while R1 and S1 indicates rhizosphere and non rhizosphere soils at 0-20cm depth and R2 and S2 indicates rhizosphere and non rhizosphere soils at 20-40cm depth.</w:t>
      </w:r>
    </w:p>
    <w:tbl>
      <w:tblPr>
        <w:tblStyle w:val="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3207"/>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3207"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Samples</w:t>
            </w:r>
          </w:p>
        </w:tc>
        <w:tc>
          <w:tcPr>
            <w:tcW w:w="3207"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 xml:space="preserve">Replicates </w:t>
            </w:r>
          </w:p>
        </w:tc>
        <w:tc>
          <w:tcPr>
            <w:tcW w:w="3208"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Depth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N1R1</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N1R1-1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N1R1-2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N1R1-3</w:t>
            </w:r>
          </w:p>
        </w:tc>
        <w:tc>
          <w:tcPr>
            <w:tcW w:w="3208" w:type="dxa"/>
            <w:vMerge w:val="restart"/>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0-20cm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N1S1</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N1S1-1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N1S1-2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N1S1-3</w:t>
            </w:r>
          </w:p>
        </w:tc>
        <w:tc>
          <w:tcPr>
            <w:tcW w:w="3208" w:type="dxa"/>
            <w:vMerge w:val="continue"/>
          </w:tcPr>
          <w:p>
            <w:pPr>
              <w:spacing w:after="0" w:line="240" w:lineRule="auto"/>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N1R2</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N1R2-1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N1R2-2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N1R2-3</w:t>
            </w:r>
          </w:p>
        </w:tc>
        <w:tc>
          <w:tcPr>
            <w:tcW w:w="3208" w:type="dxa"/>
            <w:vMerge w:val="restart"/>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20-40cm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N1S2</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N1S2-1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N1S2-2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N1S2-3</w:t>
            </w:r>
          </w:p>
        </w:tc>
        <w:tc>
          <w:tcPr>
            <w:tcW w:w="3208" w:type="dxa"/>
            <w:vMerge w:val="continue"/>
          </w:tcPr>
          <w:p>
            <w:pPr>
              <w:spacing w:after="0" w:line="240" w:lineRule="auto"/>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8"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N2R1</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N2R1-1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N2R1-2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N2R1-3</w:t>
            </w:r>
          </w:p>
        </w:tc>
        <w:tc>
          <w:tcPr>
            <w:tcW w:w="3208" w:type="dxa"/>
            <w:vMerge w:val="restart"/>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0-20cm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N2S1</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N2S1-1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N2S1-2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N2S1-3</w:t>
            </w:r>
          </w:p>
        </w:tc>
        <w:tc>
          <w:tcPr>
            <w:tcW w:w="3208" w:type="dxa"/>
            <w:vMerge w:val="continue"/>
          </w:tcPr>
          <w:p>
            <w:pPr>
              <w:spacing w:after="0" w:line="240" w:lineRule="auto"/>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N2R2</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N2R2-1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N2R2-2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N2R2-3</w:t>
            </w:r>
          </w:p>
        </w:tc>
        <w:tc>
          <w:tcPr>
            <w:tcW w:w="3208" w:type="dxa"/>
            <w:vMerge w:val="restart"/>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20-40cm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N2S2</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N2S2-1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N2S2-2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N2S2-3</w:t>
            </w:r>
          </w:p>
        </w:tc>
        <w:tc>
          <w:tcPr>
            <w:tcW w:w="3208" w:type="dxa"/>
            <w:vMerge w:val="continue"/>
          </w:tcPr>
          <w:p>
            <w:pPr>
              <w:spacing w:after="0" w:line="240" w:lineRule="auto"/>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N3R1</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N3R1-1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N3R1-2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N3R1-3</w:t>
            </w:r>
          </w:p>
        </w:tc>
        <w:tc>
          <w:tcPr>
            <w:tcW w:w="3208" w:type="dxa"/>
            <w:vMerge w:val="restart"/>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0-20cm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N3S1</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N3S1-1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N3S1-2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N3S1-3</w:t>
            </w:r>
          </w:p>
        </w:tc>
        <w:tc>
          <w:tcPr>
            <w:tcW w:w="3208" w:type="dxa"/>
            <w:vMerge w:val="continue"/>
          </w:tcPr>
          <w:p>
            <w:pPr>
              <w:spacing w:after="0" w:line="240" w:lineRule="auto"/>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N3R2</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N3R2-1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N3R2-2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N3R2-3</w:t>
            </w:r>
          </w:p>
        </w:tc>
        <w:tc>
          <w:tcPr>
            <w:tcW w:w="3208" w:type="dxa"/>
            <w:vMerge w:val="restart"/>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20-40cm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N3S2</w:t>
            </w:r>
          </w:p>
        </w:tc>
        <w:tc>
          <w:tcPr>
            <w:tcW w:w="320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N3S2-1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N3S2-2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N3S2-3</w:t>
            </w:r>
          </w:p>
        </w:tc>
        <w:tc>
          <w:tcPr>
            <w:tcW w:w="3208" w:type="dxa"/>
            <w:vMerge w:val="continue"/>
          </w:tcPr>
          <w:p>
            <w:pPr>
              <w:spacing w:after="0" w:line="240" w:lineRule="auto"/>
              <w:rPr>
                <w:rFonts w:hint="default" w:ascii="Times New Roman" w:hAnsi="Times New Roman" w:cs="Times New Roman"/>
                <w:sz w:val="22"/>
                <w:szCs w:val="22"/>
              </w:rPr>
            </w:pPr>
          </w:p>
        </w:tc>
      </w:tr>
    </w:tbl>
    <w:p/>
    <w:p>
      <w:pPr>
        <w:spacing w:after="0"/>
        <w:jc w:val="both"/>
        <w:rPr>
          <w:rFonts w:hint="default" w:ascii="Times New Roman" w:hAnsi="Times New Roman" w:cs="Times New Roman"/>
          <w:sz w:val="22"/>
          <w:szCs w:val="22"/>
        </w:rPr>
      </w:pPr>
      <w:r>
        <w:rPr>
          <w:rFonts w:hint="default" w:ascii="Times New Roman" w:hAnsi="Times New Roman" w:cs="Times New Roman"/>
          <w:b/>
          <w:sz w:val="22"/>
          <w:szCs w:val="22"/>
        </w:rPr>
        <w:t>Supplementary Table S</w:t>
      </w:r>
      <w:r>
        <w:rPr>
          <w:rFonts w:hint="default" w:ascii="Times New Roman" w:hAnsi="Times New Roman" w:eastAsia="宋体" w:cs="Times New Roman"/>
          <w:b/>
          <w:sz w:val="22"/>
          <w:szCs w:val="22"/>
          <w:lang w:val="en-US" w:eastAsia="zh-CN"/>
        </w:rPr>
        <w:t>5</w:t>
      </w:r>
      <w:r>
        <w:rPr>
          <w:rFonts w:hint="eastAsia" w:ascii="Times New Roman" w:hAnsi="Times New Roman" w:eastAsia="宋体" w:cs="Times New Roman"/>
          <w:b/>
          <w:sz w:val="22"/>
          <w:szCs w:val="22"/>
          <w:lang w:val="en-US" w:eastAsia="zh-CN"/>
        </w:rPr>
        <w:t>:</w:t>
      </w:r>
      <w:r>
        <w:rPr>
          <w:rFonts w:hint="default" w:ascii="Times New Roman" w:hAnsi="Times New Roman" w:cs="Times New Roman"/>
          <w:sz w:val="22"/>
          <w:szCs w:val="22"/>
        </w:rPr>
        <w:t>Soil samples for determination of physicochemical properties. N0 indicates the soil samples before start of experiment, while N1, N2, and N3 are soil samples treated with different levels of nitrogen fertilizer.  These samples were taken at two depths 0-20cm and 20-40cm at each level with three replicates.</w:t>
      </w:r>
    </w:p>
    <w:tbl>
      <w:tblPr>
        <w:tblStyle w:val="3"/>
        <w:tblW w:w="94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0"/>
        <w:gridCol w:w="3163"/>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3160"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Treatment</w:t>
            </w:r>
          </w:p>
        </w:tc>
        <w:tc>
          <w:tcPr>
            <w:tcW w:w="3163"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Depth</w:t>
            </w:r>
          </w:p>
        </w:tc>
        <w:tc>
          <w:tcPr>
            <w:tcW w:w="3163"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Replicates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3160" w:type="dxa"/>
            <w:vMerge w:val="restart"/>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N0</w:t>
            </w:r>
          </w:p>
          <w:p>
            <w:pPr>
              <w:spacing w:after="0" w:line="240" w:lineRule="auto"/>
              <w:rPr>
                <w:rFonts w:hint="default" w:ascii="Times New Roman" w:hAnsi="Times New Roman" w:cs="Times New Roman"/>
                <w:sz w:val="22"/>
                <w:szCs w:val="22"/>
              </w:rPr>
            </w:pPr>
          </w:p>
        </w:tc>
        <w:tc>
          <w:tcPr>
            <w:tcW w:w="3163" w:type="dxa"/>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0-20cm</w:t>
            </w:r>
          </w:p>
        </w:tc>
        <w:tc>
          <w:tcPr>
            <w:tcW w:w="3163" w:type="dxa"/>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3160" w:type="dxa"/>
            <w:vMerge w:val="continue"/>
          </w:tcPr>
          <w:p>
            <w:pPr>
              <w:spacing w:after="0" w:line="240" w:lineRule="auto"/>
              <w:rPr>
                <w:rFonts w:hint="default" w:ascii="Times New Roman" w:hAnsi="Times New Roman" w:cs="Times New Roman"/>
                <w:sz w:val="22"/>
                <w:szCs w:val="22"/>
              </w:rPr>
            </w:pPr>
          </w:p>
        </w:tc>
        <w:tc>
          <w:tcPr>
            <w:tcW w:w="3163" w:type="dxa"/>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20-40cm</w:t>
            </w:r>
          </w:p>
        </w:tc>
        <w:tc>
          <w:tcPr>
            <w:tcW w:w="3163" w:type="dxa"/>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3160" w:type="dxa"/>
            <w:vMerge w:val="restart"/>
            <w:tcBorders>
              <w:bottom w:val="single" w:color="auto" w:sz="4" w:space="0"/>
            </w:tcBorders>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N1</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 </w:t>
            </w:r>
          </w:p>
          <w:p>
            <w:pPr>
              <w:spacing w:after="0" w:line="240" w:lineRule="auto"/>
              <w:rPr>
                <w:rFonts w:hint="default" w:ascii="Times New Roman" w:hAnsi="Times New Roman" w:cs="Times New Roman"/>
                <w:sz w:val="22"/>
                <w:szCs w:val="22"/>
              </w:rPr>
            </w:pP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0-20cm</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3160" w:type="dxa"/>
            <w:vMerge w:val="continue"/>
            <w:tcBorders>
              <w:bottom w:val="single" w:color="auto" w:sz="4" w:space="0"/>
            </w:tcBorders>
          </w:tcPr>
          <w:p>
            <w:pPr>
              <w:spacing w:after="0" w:line="240" w:lineRule="auto"/>
              <w:rPr>
                <w:rFonts w:hint="default" w:ascii="Times New Roman" w:hAnsi="Times New Roman" w:cs="Times New Roman"/>
                <w:sz w:val="22"/>
                <w:szCs w:val="22"/>
              </w:rPr>
            </w:pP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20-40cm</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3160" w:type="dxa"/>
            <w:vMerge w:val="restart"/>
            <w:tcBorders>
              <w:bottom w:val="single" w:color="auto" w:sz="4" w:space="0"/>
            </w:tcBorders>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N2</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0-20cm</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3160" w:type="dxa"/>
            <w:vMerge w:val="continue"/>
            <w:tcBorders>
              <w:bottom w:val="single" w:color="auto" w:sz="4" w:space="0"/>
            </w:tcBorders>
          </w:tcPr>
          <w:p>
            <w:pPr>
              <w:spacing w:after="0" w:line="240" w:lineRule="auto"/>
              <w:rPr>
                <w:rFonts w:hint="default" w:ascii="Times New Roman" w:hAnsi="Times New Roman" w:cs="Times New Roman"/>
                <w:sz w:val="22"/>
                <w:szCs w:val="22"/>
              </w:rPr>
            </w:pP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20-40cm</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3160" w:type="dxa"/>
            <w:vMerge w:val="restart"/>
            <w:tcBorders>
              <w:bottom w:val="single" w:color="auto" w:sz="4" w:space="0"/>
            </w:tcBorders>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N3</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 </w:t>
            </w:r>
          </w:p>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0-20cm</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3160" w:type="dxa"/>
            <w:vMerge w:val="continue"/>
            <w:tcBorders>
              <w:bottom w:val="single" w:color="auto" w:sz="4" w:space="0"/>
            </w:tcBorders>
          </w:tcPr>
          <w:p>
            <w:pPr>
              <w:spacing w:after="0" w:line="240" w:lineRule="auto"/>
              <w:rPr>
                <w:rFonts w:hint="default" w:ascii="Times New Roman" w:hAnsi="Times New Roman" w:cs="Times New Roman"/>
                <w:sz w:val="22"/>
                <w:szCs w:val="22"/>
              </w:rPr>
            </w:pP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20-40cm</w:t>
            </w:r>
          </w:p>
        </w:tc>
        <w:tc>
          <w:tcPr>
            <w:tcW w:w="3163" w:type="dxa"/>
            <w:tcBorders>
              <w:bottom w:val="single" w:color="auto" w:sz="4" w:space="0"/>
            </w:tcBorders>
          </w:tcPr>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D40-1</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D40-2</w:t>
            </w:r>
          </w:p>
          <w:p>
            <w:pPr>
              <w:spacing w:after="0" w:line="240" w:lineRule="auto"/>
              <w:jc w:val="center"/>
              <w:rPr>
                <w:rFonts w:hint="default" w:ascii="Times New Roman" w:hAnsi="Times New Roman" w:cs="Times New Roman"/>
                <w:sz w:val="22"/>
                <w:szCs w:val="22"/>
              </w:rPr>
            </w:pPr>
            <w:r>
              <w:rPr>
                <w:rFonts w:hint="default" w:ascii="Times New Roman" w:hAnsi="Times New Roman" w:cs="Times New Roman"/>
                <w:sz w:val="22"/>
                <w:szCs w:val="22"/>
              </w:rPr>
              <w:t>D40-3</w:t>
            </w:r>
          </w:p>
        </w:tc>
      </w:tr>
    </w:tbl>
    <w:p>
      <w:pPr>
        <w:rPr>
          <w:rFonts w:hint="default" w:ascii="Times New Roman" w:hAnsi="Times New Roman" w:cs="Times New Roman"/>
          <w:sz w:val="22"/>
          <w:szCs w:val="22"/>
        </w:rPr>
      </w:pPr>
    </w:p>
    <w:p>
      <w:pPr>
        <w:spacing w:after="0"/>
        <w:jc w:val="both"/>
        <w:rPr>
          <w:rFonts w:hint="default" w:ascii="Times New Roman" w:hAnsi="Times New Roman" w:cs="Times New Roman"/>
          <w:sz w:val="22"/>
          <w:szCs w:val="22"/>
        </w:rPr>
      </w:pPr>
      <w:r>
        <w:rPr>
          <w:rFonts w:hint="default" w:ascii="Times New Roman" w:hAnsi="Times New Roman" w:cs="Times New Roman"/>
          <w:b/>
          <w:sz w:val="22"/>
          <w:szCs w:val="22"/>
        </w:rPr>
        <w:t>Supplementary Table S</w:t>
      </w:r>
      <w:r>
        <w:rPr>
          <w:rFonts w:hint="default" w:ascii="Times New Roman" w:hAnsi="Times New Roman" w:eastAsia="宋体" w:cs="Times New Roman"/>
          <w:b/>
          <w:sz w:val="22"/>
          <w:szCs w:val="22"/>
          <w:lang w:val="en-US" w:eastAsia="zh-CN"/>
        </w:rPr>
        <w:t>6</w:t>
      </w:r>
      <w:r>
        <w:rPr>
          <w:rFonts w:hint="eastAsia" w:ascii="Times New Roman" w:hAnsi="Times New Roman" w:eastAsia="宋体" w:cs="Times New Roman"/>
          <w:b/>
          <w:sz w:val="22"/>
          <w:szCs w:val="22"/>
          <w:lang w:val="en-US" w:eastAsia="zh-CN"/>
        </w:rPr>
        <w:t>:</w:t>
      </w:r>
      <w:r>
        <w:rPr>
          <w:rFonts w:hint="default" w:ascii="Times New Roman" w:hAnsi="Times New Roman" w:cs="Times New Roman"/>
          <w:sz w:val="22"/>
          <w:szCs w:val="22"/>
        </w:rPr>
        <w:t xml:space="preserve">Relative abundance of bacterial communities (top phyla) of goji berry plant samples at two depth 0-20cm and 20-40cm supplemented with different levels of nitrogen (N1: Low, N2: Medium, and N3: High). This is Mean±SEM values for whole treatment group. </w:t>
      </w:r>
    </w:p>
    <w:tbl>
      <w:tblPr>
        <w:tblStyle w:val="3"/>
        <w:tblW w:w="10620" w:type="dxa"/>
        <w:tblInd w:w="-5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6"/>
        <w:gridCol w:w="2510"/>
        <w:gridCol w:w="2488"/>
        <w:gridCol w:w="2488"/>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Taxa</w:t>
            </w:r>
          </w:p>
        </w:tc>
        <w:tc>
          <w:tcPr>
            <w:tcW w:w="2533"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N1</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N2</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N3</w:t>
            </w:r>
          </w:p>
        </w:tc>
        <w:tc>
          <w:tcPr>
            <w:tcW w:w="1167"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P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898" w:type="dxa"/>
            <w:vMerge w:val="continue"/>
          </w:tcPr>
          <w:p>
            <w:pPr>
              <w:spacing w:after="0" w:line="240" w:lineRule="auto"/>
              <w:rPr>
                <w:rFonts w:hint="default" w:ascii="Times New Roman" w:hAnsi="Times New Roman" w:cs="Times New Roman"/>
                <w:b/>
                <w:sz w:val="22"/>
                <w:szCs w:val="22"/>
              </w:rPr>
            </w:pPr>
          </w:p>
        </w:tc>
        <w:tc>
          <w:tcPr>
            <w:tcW w:w="2533"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1167" w:type="dxa"/>
            <w:vMerge w:val="continue"/>
          </w:tcPr>
          <w:p>
            <w:pPr>
              <w:spacing w:after="0" w:line="240" w:lineRule="auto"/>
              <w:rPr>
                <w:rFonts w:hint="default" w:ascii="Times New Roman" w:hAnsi="Times New Roman" w:cs="Times New Roman"/>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Proteobacteria</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31.62±0.94</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34.97±2.46</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31.69±1.86</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Actinobacteriota</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11.64±1.36</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11.84±2.32</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9.41±0.42</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Firmicutes</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10.11±1.21</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9.98±1.41</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10.94±2.34</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Acidobacteriota</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8.79±0.60</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6.21±0.57</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7.62±1.10</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Gemmatimonadetes</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6.06±0.05</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4.87±0.30</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5.64±0.57</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0.13</w:t>
            </w:r>
          </w:p>
        </w:tc>
      </w:tr>
    </w:tbl>
    <w:p>
      <w:pPr>
        <w:rPr>
          <w:rFonts w:hint="default" w:ascii="Times New Roman" w:hAnsi="Times New Roman" w:cs="Times New Roman"/>
          <w:sz w:val="22"/>
          <w:szCs w:val="22"/>
        </w:rPr>
      </w:pPr>
    </w:p>
    <w:p>
      <w:pPr>
        <w:spacing w:after="0"/>
        <w:jc w:val="both"/>
        <w:rPr>
          <w:rFonts w:hint="default" w:ascii="Times New Roman" w:hAnsi="Times New Roman" w:cs="Times New Roman"/>
          <w:sz w:val="22"/>
          <w:szCs w:val="22"/>
        </w:rPr>
      </w:pPr>
      <w:r>
        <w:rPr>
          <w:rFonts w:hint="default" w:ascii="Times New Roman" w:hAnsi="Times New Roman" w:cs="Times New Roman"/>
          <w:b/>
          <w:sz w:val="22"/>
          <w:szCs w:val="22"/>
        </w:rPr>
        <w:t>Supplementary Table S</w:t>
      </w:r>
      <w:r>
        <w:rPr>
          <w:rFonts w:hint="default" w:ascii="Times New Roman" w:hAnsi="Times New Roman" w:eastAsia="宋体" w:cs="Times New Roman"/>
          <w:b/>
          <w:sz w:val="22"/>
          <w:szCs w:val="22"/>
          <w:lang w:val="en-US" w:eastAsia="zh-CN"/>
        </w:rPr>
        <w:t>7</w:t>
      </w:r>
      <w:r>
        <w:rPr>
          <w:rFonts w:hint="eastAsia" w:ascii="Times New Roman" w:hAnsi="Times New Roman" w:eastAsia="宋体" w:cs="Times New Roman"/>
          <w:b/>
          <w:sz w:val="22"/>
          <w:szCs w:val="22"/>
          <w:lang w:val="en-US" w:eastAsia="zh-CN"/>
        </w:rPr>
        <w:t>:</w:t>
      </w:r>
      <w:r>
        <w:rPr>
          <w:rFonts w:hint="default" w:ascii="Times New Roman" w:hAnsi="Times New Roman" w:cs="Times New Roman"/>
          <w:sz w:val="22"/>
          <w:szCs w:val="22"/>
        </w:rPr>
        <w:t xml:space="preserve">Relative abundance of bacterial communities (top genera) of goji berry plant samples at two depth 0-20cm and 20-40cm supplemented with different levels of nitrogen (N1: Low, N2: Medium, and N3: High). This is Mean±SEM values for whole treatment group. </w:t>
      </w:r>
    </w:p>
    <w:tbl>
      <w:tblPr>
        <w:tblStyle w:val="3"/>
        <w:tblW w:w="10620" w:type="dxa"/>
        <w:tblInd w:w="-5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2288"/>
        <w:gridCol w:w="2271"/>
        <w:gridCol w:w="2271"/>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Taxa</w:t>
            </w:r>
          </w:p>
        </w:tc>
        <w:tc>
          <w:tcPr>
            <w:tcW w:w="2533"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N1</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N2</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N3</w:t>
            </w:r>
          </w:p>
        </w:tc>
        <w:tc>
          <w:tcPr>
            <w:tcW w:w="1167"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P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898" w:type="dxa"/>
            <w:vMerge w:val="continue"/>
          </w:tcPr>
          <w:p>
            <w:pPr>
              <w:spacing w:after="0" w:line="240" w:lineRule="auto"/>
              <w:rPr>
                <w:rFonts w:hint="default" w:ascii="Times New Roman" w:hAnsi="Times New Roman" w:cs="Times New Roman"/>
                <w:b/>
                <w:sz w:val="22"/>
                <w:szCs w:val="22"/>
              </w:rPr>
            </w:pPr>
          </w:p>
        </w:tc>
        <w:tc>
          <w:tcPr>
            <w:tcW w:w="2533"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1167" w:type="dxa"/>
            <w:vMerge w:val="continue"/>
          </w:tcPr>
          <w:p>
            <w:pPr>
              <w:spacing w:after="0" w:line="240" w:lineRule="auto"/>
              <w:rPr>
                <w:rFonts w:hint="default" w:ascii="Times New Roman" w:hAnsi="Times New Roman" w:cs="Times New Roman"/>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Pseudomonas</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2.43±0.15</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1.58±0.23</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1.97±0.25</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unidentified_Acidimicrobiia</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2.22±0.56</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3.12±0.91</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1.68±0.36</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Bacillus</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1.26±0.16</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1.87±0.47</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1.73±0.38</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898"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Pseudarthrobacter</w:t>
            </w:r>
          </w:p>
        </w:tc>
        <w:tc>
          <w:tcPr>
            <w:tcW w:w="2533"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1.28±0.14</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1.58±0.23</w:t>
            </w:r>
          </w:p>
        </w:tc>
        <w:tc>
          <w:tcPr>
            <w:tcW w:w="2511" w:type="dxa"/>
          </w:tcPr>
          <w:p>
            <w:pPr>
              <w:spacing w:after="0" w:line="24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1.57±0.40</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0.71</w:t>
            </w:r>
          </w:p>
        </w:tc>
      </w:tr>
    </w:tbl>
    <w:p>
      <w:pPr>
        <w:rPr>
          <w:rFonts w:hint="default" w:ascii="Times New Roman" w:hAnsi="Times New Roman" w:cs="Times New Roman"/>
          <w:sz w:val="22"/>
          <w:szCs w:val="22"/>
        </w:rPr>
      </w:pPr>
    </w:p>
    <w:p>
      <w:pPr>
        <w:spacing w:after="0"/>
        <w:jc w:val="both"/>
        <w:rPr>
          <w:rFonts w:hint="default" w:ascii="Times New Roman" w:hAnsi="Times New Roman" w:cs="Times New Roman"/>
          <w:b/>
          <w:sz w:val="22"/>
          <w:szCs w:val="22"/>
        </w:rPr>
      </w:pPr>
    </w:p>
    <w:p>
      <w:pPr>
        <w:spacing w:after="0"/>
        <w:jc w:val="both"/>
        <w:rPr>
          <w:rFonts w:hint="default" w:ascii="Times New Roman" w:hAnsi="Times New Roman" w:cs="Times New Roman"/>
          <w:b/>
          <w:sz w:val="22"/>
          <w:szCs w:val="22"/>
        </w:rPr>
      </w:pPr>
    </w:p>
    <w:p>
      <w:pPr>
        <w:spacing w:after="0"/>
        <w:jc w:val="both"/>
        <w:rPr>
          <w:rFonts w:hint="default" w:ascii="Times New Roman" w:hAnsi="Times New Roman" w:cs="Times New Roman"/>
          <w:b/>
          <w:sz w:val="22"/>
          <w:szCs w:val="22"/>
        </w:rPr>
      </w:pPr>
    </w:p>
    <w:p>
      <w:pPr>
        <w:spacing w:after="0"/>
        <w:jc w:val="both"/>
        <w:rPr>
          <w:rFonts w:hint="default" w:ascii="Times New Roman" w:hAnsi="Times New Roman" w:cs="Times New Roman"/>
          <w:b/>
          <w:sz w:val="22"/>
          <w:szCs w:val="22"/>
        </w:rPr>
      </w:pPr>
    </w:p>
    <w:p>
      <w:pPr>
        <w:rPr>
          <w:rFonts w:hint="default" w:ascii="Times New Roman" w:hAnsi="Times New Roman" w:cs="Times New Roman"/>
          <w:sz w:val="22"/>
          <w:szCs w:val="22"/>
        </w:rPr>
      </w:pPr>
    </w:p>
    <w:p>
      <w:pPr>
        <w:spacing w:after="0"/>
        <w:jc w:val="both"/>
        <w:rPr>
          <w:rFonts w:hint="default" w:ascii="Times New Roman" w:hAnsi="Times New Roman" w:cs="Times New Roman"/>
          <w:sz w:val="22"/>
          <w:szCs w:val="22"/>
        </w:rPr>
      </w:pPr>
      <w:r>
        <w:rPr>
          <w:rFonts w:hint="default" w:ascii="Times New Roman" w:hAnsi="Times New Roman" w:cs="Times New Roman"/>
          <w:b/>
          <w:sz w:val="22"/>
          <w:szCs w:val="22"/>
        </w:rPr>
        <w:t>Supplementary Table S</w:t>
      </w:r>
      <w:r>
        <w:rPr>
          <w:rFonts w:hint="default" w:ascii="Times New Roman" w:hAnsi="Times New Roman" w:eastAsia="宋体" w:cs="Times New Roman"/>
          <w:b/>
          <w:sz w:val="22"/>
          <w:szCs w:val="22"/>
          <w:lang w:val="en-US" w:eastAsia="zh-CN"/>
        </w:rPr>
        <w:t>8</w:t>
      </w:r>
      <w:r>
        <w:rPr>
          <w:rFonts w:hint="eastAsia" w:ascii="Times New Roman" w:hAnsi="Times New Roman" w:eastAsia="宋体" w:cs="Times New Roman"/>
          <w:b/>
          <w:sz w:val="22"/>
          <w:szCs w:val="22"/>
          <w:lang w:val="en-US" w:eastAsia="zh-CN"/>
        </w:rPr>
        <w:t>:</w:t>
      </w:r>
      <w:r>
        <w:rPr>
          <w:rFonts w:hint="default" w:ascii="Times New Roman" w:hAnsi="Times New Roman" w:cs="Times New Roman"/>
          <w:sz w:val="22"/>
          <w:szCs w:val="22"/>
        </w:rPr>
        <w:t xml:space="preserve">Relative abundance of fungal communities (top phyla) of goji berry plant samples at two depth 0-20cm and 20-40cm supplemented with different levels of nitrogen (N1: Low, N2: Medium, and N3: High). This is Mean±SEM values for whole treatment group. </w:t>
      </w:r>
    </w:p>
    <w:tbl>
      <w:tblPr>
        <w:tblStyle w:val="3"/>
        <w:tblW w:w="10620" w:type="dxa"/>
        <w:tblInd w:w="-5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8"/>
        <w:gridCol w:w="2533"/>
        <w:gridCol w:w="2511"/>
        <w:gridCol w:w="251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Taxa</w:t>
            </w:r>
          </w:p>
        </w:tc>
        <w:tc>
          <w:tcPr>
            <w:tcW w:w="2533"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N1</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N2</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N3</w:t>
            </w:r>
          </w:p>
        </w:tc>
        <w:tc>
          <w:tcPr>
            <w:tcW w:w="1167"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P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898" w:type="dxa"/>
            <w:vMerge w:val="continue"/>
          </w:tcPr>
          <w:p>
            <w:pPr>
              <w:spacing w:after="0" w:line="240" w:lineRule="auto"/>
              <w:rPr>
                <w:rFonts w:hint="default" w:ascii="Times New Roman" w:hAnsi="Times New Roman" w:cs="Times New Roman"/>
                <w:b/>
                <w:sz w:val="22"/>
                <w:szCs w:val="22"/>
              </w:rPr>
            </w:pPr>
          </w:p>
        </w:tc>
        <w:tc>
          <w:tcPr>
            <w:tcW w:w="2533"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1167" w:type="dxa"/>
            <w:vMerge w:val="continue"/>
          </w:tcPr>
          <w:p>
            <w:pPr>
              <w:spacing w:after="0" w:line="240" w:lineRule="auto"/>
              <w:rPr>
                <w:rFonts w:hint="default" w:ascii="Times New Roman" w:hAnsi="Times New Roman" w:cs="Times New Roman"/>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Ascomycota</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64.11±2.74</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59.70±5.47</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53.08±8.17</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Mortierellomycota</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17.94±1.84</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19.01±6.89</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21.30±9.37</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Chytridiomycota</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0.87±0.33</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1.02±0.46</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2.21±1.57</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Basidiomycota</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1.53±0.42</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1.89±0.25</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3.20±1.20</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0.30</w:t>
            </w:r>
          </w:p>
        </w:tc>
      </w:tr>
    </w:tbl>
    <w:p>
      <w:pPr>
        <w:rPr>
          <w:rFonts w:hint="default" w:ascii="Times New Roman" w:hAnsi="Times New Roman" w:cs="Times New Roman"/>
          <w:sz w:val="22"/>
          <w:szCs w:val="22"/>
        </w:rPr>
      </w:pPr>
    </w:p>
    <w:p>
      <w:pPr>
        <w:rPr>
          <w:rFonts w:hint="default" w:ascii="Times New Roman" w:hAnsi="Times New Roman" w:cs="Times New Roman"/>
          <w:sz w:val="22"/>
          <w:szCs w:val="22"/>
        </w:rPr>
      </w:pPr>
    </w:p>
    <w:p>
      <w:pPr>
        <w:spacing w:after="0"/>
        <w:jc w:val="both"/>
        <w:rPr>
          <w:rFonts w:hint="default" w:ascii="Times New Roman" w:hAnsi="Times New Roman" w:cs="Times New Roman"/>
          <w:sz w:val="22"/>
          <w:szCs w:val="22"/>
        </w:rPr>
      </w:pPr>
      <w:r>
        <w:rPr>
          <w:rFonts w:hint="default" w:ascii="Times New Roman" w:hAnsi="Times New Roman" w:cs="Times New Roman"/>
          <w:b/>
          <w:sz w:val="22"/>
          <w:szCs w:val="22"/>
        </w:rPr>
        <w:t>Supplementary Table S</w:t>
      </w:r>
      <w:r>
        <w:rPr>
          <w:rFonts w:hint="default" w:ascii="Times New Roman" w:hAnsi="Times New Roman" w:eastAsia="宋体" w:cs="Times New Roman"/>
          <w:b/>
          <w:sz w:val="22"/>
          <w:szCs w:val="22"/>
          <w:lang w:val="en-US" w:eastAsia="zh-CN"/>
        </w:rPr>
        <w:t>9</w:t>
      </w:r>
      <w:r>
        <w:rPr>
          <w:rFonts w:hint="eastAsia" w:ascii="Times New Roman" w:hAnsi="Times New Roman" w:eastAsia="宋体" w:cs="Times New Roman"/>
          <w:b/>
          <w:sz w:val="22"/>
          <w:szCs w:val="22"/>
          <w:lang w:val="en-US" w:eastAsia="zh-CN"/>
        </w:rPr>
        <w:t>:</w:t>
      </w:r>
      <w:r>
        <w:rPr>
          <w:rFonts w:hint="default" w:ascii="Times New Roman" w:hAnsi="Times New Roman" w:cs="Times New Roman"/>
          <w:sz w:val="22"/>
          <w:szCs w:val="22"/>
        </w:rPr>
        <w:t xml:space="preserve">Relative abundance of fungal communities (top genera) of goji berry plant samples at two depth 0-20cm and 20-40cm supplemented with different levels of nitrogen (N1: Low, N2: Medium, and N3: High). This is Mean±SEM values for whole treatment group. </w:t>
      </w:r>
    </w:p>
    <w:tbl>
      <w:tblPr>
        <w:tblStyle w:val="3"/>
        <w:tblW w:w="10620" w:type="dxa"/>
        <w:tblInd w:w="-5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8"/>
        <w:gridCol w:w="2533"/>
        <w:gridCol w:w="2511"/>
        <w:gridCol w:w="251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Taxa</w:t>
            </w:r>
          </w:p>
        </w:tc>
        <w:tc>
          <w:tcPr>
            <w:tcW w:w="2533"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N1</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N2</w:t>
            </w:r>
          </w:p>
        </w:tc>
        <w:tc>
          <w:tcPr>
            <w:tcW w:w="2511" w:type="dxa"/>
          </w:tcPr>
          <w:p>
            <w:pPr>
              <w:spacing w:after="0" w:line="240" w:lineRule="auto"/>
              <w:jc w:val="center"/>
              <w:rPr>
                <w:rFonts w:hint="default" w:ascii="Times New Roman" w:hAnsi="Times New Roman" w:cs="Times New Roman"/>
                <w:b/>
                <w:sz w:val="22"/>
                <w:szCs w:val="22"/>
              </w:rPr>
            </w:pPr>
            <w:r>
              <w:rPr>
                <w:rFonts w:hint="default" w:ascii="Times New Roman" w:hAnsi="Times New Roman" w:cs="Times New Roman"/>
                <w:b/>
                <w:sz w:val="22"/>
                <w:szCs w:val="22"/>
              </w:rPr>
              <w:t>N3</w:t>
            </w:r>
          </w:p>
        </w:tc>
        <w:tc>
          <w:tcPr>
            <w:tcW w:w="1167" w:type="dxa"/>
            <w:vMerge w:val="restart"/>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P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898" w:type="dxa"/>
            <w:vMerge w:val="continue"/>
          </w:tcPr>
          <w:p>
            <w:pPr>
              <w:spacing w:after="0" w:line="240" w:lineRule="auto"/>
              <w:rPr>
                <w:rFonts w:hint="default" w:ascii="Times New Roman" w:hAnsi="Times New Roman" w:cs="Times New Roman"/>
                <w:b/>
                <w:sz w:val="22"/>
                <w:szCs w:val="22"/>
              </w:rPr>
            </w:pPr>
          </w:p>
        </w:tc>
        <w:tc>
          <w:tcPr>
            <w:tcW w:w="2533"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2511" w:type="dxa"/>
          </w:tcPr>
          <w:p>
            <w:pPr>
              <w:spacing w:after="0" w:line="240" w:lineRule="auto"/>
              <w:rPr>
                <w:rFonts w:hint="default" w:ascii="Times New Roman" w:hAnsi="Times New Roman" w:cs="Times New Roman"/>
                <w:b/>
                <w:sz w:val="22"/>
                <w:szCs w:val="22"/>
              </w:rPr>
            </w:pPr>
            <w:r>
              <w:rPr>
                <w:rFonts w:hint="default" w:ascii="Times New Roman" w:hAnsi="Times New Roman" w:cs="Times New Roman"/>
                <w:b/>
                <w:sz w:val="22"/>
                <w:szCs w:val="22"/>
              </w:rPr>
              <w:t>N1R1, N1S1 ,N1R2, N1S2</w:t>
            </w:r>
          </w:p>
        </w:tc>
        <w:tc>
          <w:tcPr>
            <w:tcW w:w="1167" w:type="dxa"/>
            <w:vMerge w:val="continue"/>
          </w:tcPr>
          <w:p>
            <w:pPr>
              <w:spacing w:after="0" w:line="240" w:lineRule="auto"/>
              <w:rPr>
                <w:rFonts w:hint="default" w:ascii="Times New Roman" w:hAnsi="Times New Roman" w:cs="Times New Roman"/>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Mortierella</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 17.68±1.79</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18.69±6.86</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21.18±9.33</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Acaulium</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7.60±4.49</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10.69±5.48</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4.89±1.53</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Monilia</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5.02±3.54</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1.67±0.87</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1.97±0.38</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Gibberella</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9.88±4.54</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10.28±3.67</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13.68±5.39</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898"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Fusarium</w:t>
            </w:r>
          </w:p>
        </w:tc>
        <w:tc>
          <w:tcPr>
            <w:tcW w:w="2533"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9.36±2.13</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7.77±3.71</w:t>
            </w:r>
          </w:p>
        </w:tc>
        <w:tc>
          <w:tcPr>
            <w:tcW w:w="2511"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6.61±1.69</w:t>
            </w:r>
          </w:p>
        </w:tc>
        <w:tc>
          <w:tcPr>
            <w:tcW w:w="1167" w:type="dxa"/>
          </w:tcPr>
          <w:p>
            <w:pPr>
              <w:spacing w:after="0" w:line="240" w:lineRule="auto"/>
              <w:rPr>
                <w:rFonts w:hint="default" w:ascii="Times New Roman" w:hAnsi="Times New Roman" w:cs="Times New Roman"/>
                <w:sz w:val="22"/>
                <w:szCs w:val="22"/>
              </w:rPr>
            </w:pPr>
            <w:r>
              <w:rPr>
                <w:rFonts w:hint="default" w:ascii="Times New Roman" w:hAnsi="Times New Roman" w:cs="Times New Roman"/>
                <w:sz w:val="22"/>
                <w:szCs w:val="22"/>
              </w:rPr>
              <w:t>0.76</w:t>
            </w:r>
          </w:p>
        </w:tc>
      </w:tr>
    </w:tbl>
    <w:p>
      <w:pPr>
        <w:rPr>
          <w:rFonts w:hint="default" w:ascii="Times New Roman" w:hAnsi="Times New Roman" w:cs="Times New Roman"/>
          <w:sz w:val="22"/>
          <w:szCs w:val="22"/>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ewsDA3tbA0M7C0NLNU0lEKTi0uzszPAykwrAUApC7/jywAAAA="/>
    <w:docVar w:name="commondata" w:val="eyJoZGlkIjoiYjgzZDgxZDdjYjRmNzUzYTQ0NGJiZmNmOGIxN2NmNDMifQ=="/>
  </w:docVars>
  <w:rsids>
    <w:rsidRoot w:val="006228D4"/>
    <w:rsid w:val="0017539C"/>
    <w:rsid w:val="002068C3"/>
    <w:rsid w:val="00282044"/>
    <w:rsid w:val="00293A84"/>
    <w:rsid w:val="003112F9"/>
    <w:rsid w:val="0031687F"/>
    <w:rsid w:val="00323A28"/>
    <w:rsid w:val="0053091F"/>
    <w:rsid w:val="00533483"/>
    <w:rsid w:val="005452FC"/>
    <w:rsid w:val="00585575"/>
    <w:rsid w:val="005879CB"/>
    <w:rsid w:val="006228D4"/>
    <w:rsid w:val="00811F28"/>
    <w:rsid w:val="00A667B8"/>
    <w:rsid w:val="00B83D52"/>
    <w:rsid w:val="00BE0BC8"/>
    <w:rsid w:val="00CB0B21"/>
    <w:rsid w:val="00D4404D"/>
    <w:rsid w:val="00D4505C"/>
    <w:rsid w:val="00DC6070"/>
    <w:rsid w:val="00DE0494"/>
    <w:rsid w:val="00FF08A5"/>
    <w:rsid w:val="20383545"/>
    <w:rsid w:val="243667DF"/>
    <w:rsid w:val="41007633"/>
    <w:rsid w:val="478629EA"/>
    <w:rsid w:val="6E4D5003"/>
    <w:rsid w:val="730C6984"/>
    <w:rsid w:val="77820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564</Words>
  <Characters>3215</Characters>
  <Lines>26</Lines>
  <Paragraphs>7</Paragraphs>
  <TotalTime>34</TotalTime>
  <ScaleCrop>false</ScaleCrop>
  <LinksUpToDate>false</LinksUpToDate>
  <CharactersWithSpaces>3772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2023-12-15T04:40:00Z</dcterms:created>
  <dc:creator>Microsoft account</dc:creator>
  <cp:lastModifiedBy>amand</cp:lastModifiedBy>
  <dcterms:modified xsi:type="dcterms:W3CDTF">2024-01-31T02:34:05Z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8F329EAAFC7144D19CD6FC04D6E751C8_13</vt:lpwstr>
  </property>
</Properties>
</file>